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77766D25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21562A">
        <w:rPr>
          <w:rFonts w:asciiTheme="minorHAnsi" w:hAnsiTheme="minorHAnsi" w:cstheme="minorHAnsi"/>
          <w:b/>
        </w:rPr>
        <w:t>1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Default="005F343D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3F62FAD4" w:rsidR="00CB0A11" w:rsidRPr="00F35169" w:rsidRDefault="00CB0A11" w:rsidP="0021562A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F3516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F35169">
        <w:rPr>
          <w:rFonts w:asciiTheme="minorHAnsi" w:hAnsiTheme="minorHAnsi" w:cstheme="minorHAnsi"/>
          <w:lang w:eastAsia="pt-BR"/>
        </w:rPr>
        <w:t>E</w:t>
      </w:r>
      <w:r w:rsidR="00DD365D" w:rsidRPr="00F35169">
        <w:rPr>
          <w:rFonts w:asciiTheme="minorHAnsi" w:hAnsiTheme="minorHAnsi" w:cstheme="minorHAnsi"/>
          <w:lang w:eastAsia="pt-BR"/>
        </w:rPr>
        <w:t xml:space="preserve"> </w:t>
      </w:r>
      <w:r w:rsidR="004E384E" w:rsidRPr="00F35169">
        <w:rPr>
          <w:rFonts w:asciiTheme="minorHAnsi" w:hAnsiTheme="minorHAnsi" w:cstheme="minorHAnsi"/>
          <w:lang w:eastAsia="pt-BR"/>
        </w:rPr>
        <w:t>05</w:t>
      </w:r>
      <w:r w:rsidR="0021562A">
        <w:rPr>
          <w:rFonts w:asciiTheme="minorHAnsi" w:hAnsiTheme="minorHAnsi" w:cstheme="minorHAnsi"/>
          <w:lang w:eastAsia="pt-BR"/>
        </w:rPr>
        <w:t>5</w:t>
      </w:r>
      <w:r w:rsidRPr="00F35169">
        <w:rPr>
          <w:rFonts w:asciiTheme="minorHAnsi" w:hAnsiTheme="minorHAnsi" w:cstheme="minorHAnsi"/>
          <w:lang w:eastAsia="pt-BR"/>
        </w:rPr>
        <w:t>/202</w:t>
      </w:r>
      <w:r w:rsidR="00B14296" w:rsidRPr="00F35169">
        <w:rPr>
          <w:rFonts w:asciiTheme="minorHAnsi" w:hAnsiTheme="minorHAnsi" w:cstheme="minorHAnsi"/>
          <w:lang w:eastAsia="pt-BR"/>
        </w:rPr>
        <w:t>3</w:t>
      </w:r>
      <w:r w:rsidRPr="00F3516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F35169" w:rsidRDefault="00CB0A11" w:rsidP="0021562A">
      <w:pPr>
        <w:pStyle w:val="SemEspaamento"/>
        <w:jc w:val="both"/>
        <w:rPr>
          <w:rFonts w:asciiTheme="minorHAnsi" w:hAnsiTheme="minorHAnsi" w:cstheme="minorHAnsi"/>
        </w:rPr>
      </w:pPr>
    </w:p>
    <w:p w14:paraId="053F3BDE" w14:textId="77777777" w:rsidR="005F343D" w:rsidRPr="00F35169" w:rsidRDefault="005F343D" w:rsidP="0021562A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</w:p>
    <w:p w14:paraId="373D3481" w14:textId="77777777" w:rsidR="0021562A" w:rsidRDefault="0021562A" w:rsidP="0021562A">
      <w:pPr>
        <w:numPr>
          <w:ilvl w:val="0"/>
          <w:numId w:val="38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O preposto da contratada poderá estar locado na cidade do Rio de Janeiro para gerir o contrato?</w:t>
      </w:r>
    </w:p>
    <w:p w14:paraId="55E791AE" w14:textId="3876D818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R</w:t>
      </w:r>
      <w:r w:rsidRPr="0021562A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esposta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:</w:t>
      </w: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 xml:space="preserve"> Não, conforme edital.</w:t>
      </w:r>
    </w:p>
    <w:p w14:paraId="4214084A" w14:textId="77777777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 </w:t>
      </w:r>
    </w:p>
    <w:p w14:paraId="158EC70B" w14:textId="424CD581" w:rsidR="0021562A" w:rsidRDefault="0021562A" w:rsidP="0021562A">
      <w:pPr>
        <w:numPr>
          <w:ilvl w:val="0"/>
          <w:numId w:val="39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caso o contrato venha a ser renovado haverá a necessidade de substituição da frota?</w:t>
      </w:r>
    </w:p>
    <w:p w14:paraId="6DCB0EDF" w14:textId="20552EF2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: Sim.</w:t>
      </w:r>
    </w:p>
    <w:p w14:paraId="2176A167" w14:textId="77777777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 </w:t>
      </w:r>
    </w:p>
    <w:p w14:paraId="5F1AACEE" w14:textId="0FDD0DBA" w:rsidR="0021562A" w:rsidRDefault="0021562A" w:rsidP="0021562A">
      <w:pPr>
        <w:numPr>
          <w:ilvl w:val="0"/>
          <w:numId w:val="40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em relação ao pagamento questionamos qual a instituição financeira contratada pelo CONTRATANTE?</w:t>
      </w:r>
    </w:p>
    <w:p w14:paraId="5C7DAF39" w14:textId="14C4339E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: Preferencialmente a instituição financeira Itaú.</w:t>
      </w:r>
    </w:p>
    <w:p w14:paraId="1D690F5D" w14:textId="77777777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 </w:t>
      </w:r>
    </w:p>
    <w:p w14:paraId="627F21A6" w14:textId="77777777" w:rsidR="0021562A" w:rsidRDefault="0021562A" w:rsidP="0021562A">
      <w:pPr>
        <w:numPr>
          <w:ilvl w:val="0"/>
          <w:numId w:val="41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haverá necessidade de prever gastos com estacionamentos e pedágios?  Neste caso, o ônus será da Contratante ou da contratada? Por gentileza indicar quantidade necessária para o prazo de 12 meses.</w:t>
      </w:r>
    </w:p>
    <w:p w14:paraId="2096C8B5" w14:textId="31A0B181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: Não, conforme Edital.</w:t>
      </w:r>
    </w:p>
    <w:p w14:paraId="423AC65B" w14:textId="77777777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 </w:t>
      </w:r>
    </w:p>
    <w:p w14:paraId="63D85DDC" w14:textId="77777777" w:rsidR="0021562A" w:rsidRDefault="0021562A" w:rsidP="0021562A">
      <w:pPr>
        <w:numPr>
          <w:ilvl w:val="0"/>
          <w:numId w:val="4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após a etapa de lances o melhor classificado terá quanto tempo para enviar a proposta ajustada ao valor final?</w:t>
      </w:r>
    </w:p>
    <w:p w14:paraId="54051F73" w14:textId="510119BA" w:rsidR="002B394B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 xml:space="preserve">: </w:t>
      </w:r>
      <w:r w:rsidR="002B394B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O tempo será informado pelo Pregoeiro, no momento em que a proposta ajustada do licitante arrematante, for solicitada via chat.</w:t>
      </w:r>
    </w:p>
    <w:p w14:paraId="7E95A1BA" w14:textId="241EFE0E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 </w:t>
      </w:r>
    </w:p>
    <w:p w14:paraId="4D6A507C" w14:textId="77777777" w:rsidR="0021562A" w:rsidRPr="0021562A" w:rsidRDefault="0021562A" w:rsidP="0021562A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       f) o prazo de entrega dos veículos definido para 30 dias é muito curto, pois temos o prazo de entrega da montadora além do prazo de blindagem dos veículos que leva em torno de 90 dias.                                                       Questionamos:</w:t>
      </w:r>
    </w:p>
    <w:p w14:paraId="029E7EE4" w14:textId="77777777" w:rsid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f.1) poderiam prorrogar o prazo de entrega para 90 a 100 dias?</w:t>
      </w:r>
    </w:p>
    <w:p w14:paraId="2DD0624D" w14:textId="3B7A9AD4" w:rsid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: Não, conforme Edital.</w:t>
      </w:r>
    </w:p>
    <w:p w14:paraId="365EB825" w14:textId="77777777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</w:p>
    <w:p w14:paraId="15769C24" w14:textId="77777777" w:rsid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f.2) caso não seja possível a prorrogação, a contratada poderá iniciar os serviços com veículos seminovos?</w:t>
      </w:r>
    </w:p>
    <w:p w14:paraId="1262402D" w14:textId="120F0FE1" w:rsid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: Não, conforme Edital.</w:t>
      </w:r>
    </w:p>
    <w:p w14:paraId="5B98543A" w14:textId="77777777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</w:p>
    <w:p w14:paraId="0250C41C" w14:textId="77777777" w:rsid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f.3) caso não seja possível a prorrogação, a contratada poderá iniciar os serviços com veículos sublocados?</w:t>
      </w:r>
    </w:p>
    <w:p w14:paraId="5B3866F9" w14:textId="07BB0823" w:rsidR="0021562A" w:rsidRPr="0021562A" w:rsidRDefault="0021562A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b/>
          <w:bCs/>
          <w:color w:val="242424"/>
          <w:sz w:val="22"/>
          <w:szCs w:val="22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lang w:eastAsia="pt-BR"/>
        </w:rPr>
        <w:t>: Não, conforme Edital.</w:t>
      </w:r>
    </w:p>
    <w:p w14:paraId="6F802509" w14:textId="77777777" w:rsidR="0021562A" w:rsidRPr="0021562A" w:rsidRDefault="0021562A" w:rsidP="0021562A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 </w:t>
      </w:r>
    </w:p>
    <w:p w14:paraId="2219B353" w14:textId="77777777" w:rsidR="0021562A" w:rsidRPr="0021562A" w:rsidRDefault="0021562A" w:rsidP="0021562A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 </w:t>
      </w:r>
    </w:p>
    <w:p w14:paraId="4F0134AB" w14:textId="3B37A51A" w:rsidR="0021562A" w:rsidRPr="0021562A" w:rsidRDefault="0021562A" w:rsidP="0021562A">
      <w:pPr>
        <w:numPr>
          <w:ilvl w:val="0"/>
          <w:numId w:val="43"/>
        </w:num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entendemos que a contratada fornecerá cartão combustível restrito a abastecer o veículo até a quilometragem de 2.500 quil</w:t>
      </w:r>
      <w:r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ô</w:t>
      </w: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metros ao mês. Se extrapolada esta quilometragem dentro do mês, a Prefeitura arcará com o ônus do abastecimento do veículo. Estamos certos em nosso entendimento? </w:t>
      </w:r>
    </w:p>
    <w:p w14:paraId="179BF9A3" w14:textId="7F860391" w:rsidR="0021562A" w:rsidRPr="0021562A" w:rsidRDefault="0021562A" w:rsidP="0021562A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006A8B">
        <w:rPr>
          <w:rFonts w:ascii="Calibri" w:eastAsia="Times New Roman" w:hAnsi="Calibri" w:cs="Calibri"/>
          <w:b/>
          <w:bCs/>
          <w:color w:val="242424"/>
          <w:sz w:val="22"/>
          <w:szCs w:val="22"/>
          <w:bdr w:val="none" w:sz="0" w:space="0" w:color="auto" w:frame="1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 xml:space="preserve">: </w:t>
      </w:r>
      <w:r w:rsidR="00006A8B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Não, conforme Edital.</w:t>
      </w:r>
    </w:p>
    <w:p w14:paraId="7C4E62D4" w14:textId="77777777" w:rsidR="0021562A" w:rsidRPr="0021562A" w:rsidRDefault="0021562A" w:rsidP="0021562A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lastRenderedPageBreak/>
        <w:t> </w:t>
      </w:r>
    </w:p>
    <w:p w14:paraId="66324FA1" w14:textId="77777777" w:rsidR="0021562A" w:rsidRPr="0021562A" w:rsidRDefault="0021562A" w:rsidP="0021562A">
      <w:pPr>
        <w:numPr>
          <w:ilvl w:val="0"/>
          <w:numId w:val="44"/>
        </w:num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SUBLOCAÇÃO VEÍCULOS DEFINITIVO</w:t>
      </w:r>
    </w:p>
    <w:p w14:paraId="3325D3FE" w14:textId="1DA7DD2A" w:rsidR="0021562A" w:rsidRDefault="0021562A" w:rsidP="0021562A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 xml:space="preserve">Os veículos poderão ser de propriedade de terceiros e estar em posse direta da contratada por qualquer meio legal de negociação (locação, comodato, cessão de uso, </w:t>
      </w:r>
      <w:proofErr w:type="spellStart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etc</w:t>
      </w:r>
      <w:proofErr w:type="spellEnd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)? Ressaltamos que tal hipótese não caracteriza “subcontratação” pois a Contratada se manterá diretamente na execução do contrato e apenas se utilizará de veículos em nome de terceiro que estejam em sua posse.</w:t>
      </w:r>
    </w:p>
    <w:p w14:paraId="5DC6FCD0" w14:textId="20E82F36" w:rsidR="00006A8B" w:rsidRPr="0021562A" w:rsidRDefault="00006A8B" w:rsidP="0021562A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006A8B">
        <w:rPr>
          <w:rFonts w:ascii="Calibri" w:eastAsia="Times New Roman" w:hAnsi="Calibri" w:cs="Calibri"/>
          <w:b/>
          <w:bCs/>
          <w:color w:val="242424"/>
          <w:sz w:val="22"/>
          <w:szCs w:val="22"/>
          <w:bdr w:val="none" w:sz="0" w:space="0" w:color="auto" w:frame="1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 xml:space="preserve">: Sim, desde que </w:t>
      </w:r>
      <w:bookmarkStart w:id="0" w:name="_Hlk155279051"/>
      <w:r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haja o cumprimento total das obrigações previstas no Edital.</w:t>
      </w:r>
    </w:p>
    <w:p w14:paraId="4D427E74" w14:textId="77777777" w:rsidR="0021562A" w:rsidRPr="0021562A" w:rsidRDefault="0021562A" w:rsidP="0021562A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 </w:t>
      </w:r>
    </w:p>
    <w:bookmarkEnd w:id="0"/>
    <w:p w14:paraId="0AFA176A" w14:textId="59BD3085" w:rsidR="0021562A" w:rsidRPr="00006A8B" w:rsidRDefault="0021562A" w:rsidP="0021562A">
      <w:pPr>
        <w:numPr>
          <w:ilvl w:val="0"/>
          <w:numId w:val="45"/>
        </w:num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 xml:space="preserve">SUBLOCAÇÃO VEÍCULOS RESERVA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Os veículos para substituição temporária no contrato, poderão ser de propriedade de terceiros  e estar em sua posse direta por qualquer meio legal de negociação (locação, comodato, cessão de uso, </w:t>
      </w:r>
      <w:proofErr w:type="spellStart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etc</w:t>
      </w:r>
      <w:proofErr w:type="spellEnd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)? Ressaltamos que tal hipótese não caracteriza “subcontratação” pois a Contratada se manterá diretamente na execução do contrato e apenas se utilizará de veículos em nome de terceiro que estejam em sua posse.</w:t>
      </w:r>
    </w:p>
    <w:p w14:paraId="6A9C0ED2" w14:textId="163E9DB4" w:rsidR="00006A8B" w:rsidRPr="00006A8B" w:rsidRDefault="00006A8B" w:rsidP="00006A8B">
      <w:pPr>
        <w:ind w:left="993"/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b/>
          <w:bCs/>
          <w:color w:val="242424"/>
          <w:sz w:val="22"/>
          <w:szCs w:val="22"/>
          <w:bdr w:val="none" w:sz="0" w:space="0" w:color="auto" w:frame="1"/>
          <w:lang w:eastAsia="pt-BR"/>
        </w:rPr>
        <w:t xml:space="preserve"> </w:t>
      </w:r>
      <w:r w:rsidRPr="00006A8B">
        <w:rPr>
          <w:rFonts w:ascii="Calibri" w:eastAsia="Times New Roman" w:hAnsi="Calibri" w:cs="Calibri"/>
          <w:b/>
          <w:bCs/>
          <w:color w:val="242424"/>
          <w:sz w:val="22"/>
          <w:szCs w:val="22"/>
          <w:bdr w:val="none" w:sz="0" w:space="0" w:color="auto" w:frame="1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 xml:space="preserve">: Sim, desde que </w:t>
      </w:r>
      <w:r w:rsidRPr="00006A8B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haja o cumprimento total das obrigações previstas no Edital.</w:t>
      </w:r>
    </w:p>
    <w:p w14:paraId="463301DE" w14:textId="7FF17995" w:rsidR="00006A8B" w:rsidRPr="0021562A" w:rsidRDefault="00006A8B" w:rsidP="00006A8B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</w:p>
    <w:p w14:paraId="3760E6DE" w14:textId="77777777" w:rsidR="0021562A" w:rsidRPr="0021562A" w:rsidRDefault="0021562A" w:rsidP="0021562A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 </w:t>
      </w:r>
    </w:p>
    <w:p w14:paraId="1B85B6AE" w14:textId="7576D2BB" w:rsidR="0021562A" w:rsidRPr="0021562A" w:rsidRDefault="0021562A" w:rsidP="0021562A">
      <w:pPr>
        <w:numPr>
          <w:ilvl w:val="0"/>
          <w:numId w:val="46"/>
        </w:num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 xml:space="preserve">o Edital restringe a competitividade entre os licitantes ao estipular índices financeiros que a licitantes devem atingir para comprovação de habilitação </w:t>
      </w:r>
      <w:proofErr w:type="spellStart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economico-financeiro</w:t>
      </w:r>
      <w:proofErr w:type="spellEnd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 xml:space="preserve">, sem dar a alternativa de apresentação de comprovação de capital social ou </w:t>
      </w:r>
      <w:proofErr w:type="spellStart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patrimonio</w:t>
      </w:r>
      <w:proofErr w:type="spellEnd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 xml:space="preserve"> liquido, caso a licitante não os alcance, como ocorre na maioria dos editais, onde o edital preconiza:</w:t>
      </w:r>
    </w:p>
    <w:p w14:paraId="73BDF77E" w14:textId="77777777" w:rsidR="0021562A" w:rsidRPr="0021562A" w:rsidRDefault="0021562A" w:rsidP="0021562A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"A licitante que apresentar índice econômico igual ou inferior a 01 (um) em qualquer dos índices, deverá comprovar que possui capital social mínimo não inferior a 10% do preço estimado da contratação ou item pertinente.</w:t>
      </w:r>
    </w:p>
    <w:p w14:paraId="59CC8526" w14:textId="77777777" w:rsidR="0021562A" w:rsidRDefault="0021562A" w:rsidP="0021562A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</w:pPr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 xml:space="preserve">Sugerimos correção do edital para inclusão da cláusula alternativa de apresentação da qualificação </w:t>
      </w:r>
      <w:proofErr w:type="spellStart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economica-finaceiro</w:t>
      </w:r>
      <w:proofErr w:type="spellEnd"/>
      <w:r w:rsidRPr="0021562A"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, visando maior número de licitantes, trazendo assim maior competitividade e economia ao certame.</w:t>
      </w:r>
    </w:p>
    <w:p w14:paraId="3220B5CE" w14:textId="63952ECC" w:rsidR="00006A8B" w:rsidRPr="0021562A" w:rsidRDefault="00006A8B" w:rsidP="0021562A">
      <w:pPr>
        <w:shd w:val="clear" w:color="auto" w:fill="FFFFFF"/>
        <w:suppressAutoHyphens w:val="0"/>
        <w:ind w:left="1080"/>
        <w:jc w:val="both"/>
        <w:rPr>
          <w:rFonts w:ascii="Calibri" w:eastAsia="Times New Roman" w:hAnsi="Calibri" w:cs="Calibri"/>
          <w:color w:val="242424"/>
          <w:sz w:val="22"/>
          <w:szCs w:val="22"/>
          <w:lang w:eastAsia="pt-BR"/>
        </w:rPr>
      </w:pPr>
      <w:r w:rsidRPr="00006A8B">
        <w:rPr>
          <w:rFonts w:ascii="Calibri" w:eastAsia="Times New Roman" w:hAnsi="Calibri" w:cs="Calibri"/>
          <w:b/>
          <w:bCs/>
          <w:color w:val="242424"/>
          <w:sz w:val="22"/>
          <w:szCs w:val="22"/>
          <w:bdr w:val="none" w:sz="0" w:space="0" w:color="auto" w:frame="1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sz w:val="22"/>
          <w:szCs w:val="22"/>
          <w:bdr w:val="none" w:sz="0" w:space="0" w:color="auto" w:frame="1"/>
          <w:lang w:eastAsia="pt-BR"/>
        </w:rPr>
        <w:t>: O Edital foi elaborado em conformidade com a Minuta Padrão da Procuradoria Geral do Município.</w:t>
      </w:r>
    </w:p>
    <w:p w14:paraId="628EAA41" w14:textId="77777777" w:rsidR="00F35169" w:rsidRPr="00F35169" w:rsidRDefault="00F35169" w:rsidP="0021562A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lang w:eastAsia="pt-BR"/>
        </w:rPr>
      </w:pPr>
    </w:p>
    <w:p w14:paraId="7D1DE2FF" w14:textId="12B384A6" w:rsidR="005E77E8" w:rsidRPr="00F35169" w:rsidRDefault="005E77E8" w:rsidP="0021562A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F35169">
        <w:rPr>
          <w:rFonts w:asciiTheme="minorHAnsi" w:eastAsia="Times New Roman" w:hAnsiTheme="minorHAnsi" w:cstheme="minorHAnsi"/>
          <w:color w:val="242424"/>
          <w:lang w:eastAsia="pt-BR"/>
        </w:rPr>
        <w:t xml:space="preserve">Em, </w:t>
      </w:r>
      <w:r w:rsidR="0034111F">
        <w:rPr>
          <w:rFonts w:asciiTheme="minorHAnsi" w:eastAsia="Times New Roman" w:hAnsiTheme="minorHAnsi" w:cstheme="minorHAnsi"/>
          <w:color w:val="242424"/>
          <w:lang w:eastAsia="pt-BR"/>
        </w:rPr>
        <w:t>0</w:t>
      </w:r>
      <w:r w:rsidR="00006A8B">
        <w:rPr>
          <w:rFonts w:asciiTheme="minorHAnsi" w:eastAsia="Times New Roman" w:hAnsiTheme="minorHAnsi" w:cstheme="minorHAnsi"/>
          <w:color w:val="242424"/>
          <w:lang w:eastAsia="pt-BR"/>
        </w:rPr>
        <w:t>4</w:t>
      </w:r>
      <w:r w:rsidRPr="00F35169">
        <w:rPr>
          <w:rFonts w:asciiTheme="minorHAnsi" w:eastAsia="Times New Roman" w:hAnsiTheme="minorHAnsi" w:cstheme="minorHAnsi"/>
          <w:color w:val="242424"/>
          <w:lang w:eastAsia="pt-BR"/>
        </w:rPr>
        <w:t>/</w:t>
      </w:r>
      <w:r w:rsidR="0034111F">
        <w:rPr>
          <w:rFonts w:asciiTheme="minorHAnsi" w:eastAsia="Times New Roman" w:hAnsiTheme="minorHAnsi" w:cstheme="minorHAnsi"/>
          <w:color w:val="242424"/>
          <w:lang w:eastAsia="pt-BR"/>
        </w:rPr>
        <w:t>01</w:t>
      </w:r>
      <w:r w:rsidRPr="00F35169">
        <w:rPr>
          <w:rFonts w:asciiTheme="minorHAnsi" w:eastAsia="Times New Roman" w:hAnsiTheme="minorHAnsi" w:cstheme="minorHAnsi"/>
          <w:color w:val="242424"/>
          <w:lang w:eastAsia="pt-BR"/>
        </w:rPr>
        <w:t>/202</w:t>
      </w:r>
      <w:r w:rsidR="0034111F">
        <w:rPr>
          <w:rFonts w:asciiTheme="minorHAnsi" w:eastAsia="Times New Roman" w:hAnsiTheme="minorHAnsi" w:cstheme="minorHAnsi"/>
          <w:color w:val="242424"/>
          <w:lang w:eastAsia="pt-BR"/>
        </w:rPr>
        <w:t>4</w:t>
      </w:r>
      <w:r w:rsidRPr="00F35169">
        <w:rPr>
          <w:rFonts w:asciiTheme="minorHAnsi" w:eastAsia="Times New Roman" w:hAnsiTheme="minorHAnsi" w:cstheme="minorHAnsi"/>
          <w:color w:val="242424"/>
          <w:lang w:eastAsia="pt-BR"/>
        </w:rPr>
        <w:t>.</w:t>
      </w:r>
    </w:p>
    <w:p w14:paraId="7E9A3DBB" w14:textId="77777777" w:rsidR="005E77E8" w:rsidRPr="00F35169" w:rsidRDefault="005E77E8" w:rsidP="0021562A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C97433F" w14:textId="0BABC756" w:rsidR="0034111F" w:rsidRDefault="00006A8B" w:rsidP="00006A8B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>
        <w:rPr>
          <w:rFonts w:asciiTheme="minorHAnsi" w:eastAsia="Times New Roman" w:hAnsiTheme="minorHAnsi" w:cstheme="minorHAnsi"/>
          <w:color w:val="242424"/>
          <w:lang w:eastAsia="pt-BR"/>
        </w:rPr>
        <w:t>Secretaria Municipal de Administração</w:t>
      </w:r>
    </w:p>
    <w:p w14:paraId="7C643AA7" w14:textId="2C2B2469" w:rsidR="0034111F" w:rsidRPr="0034111F" w:rsidRDefault="0034111F" w:rsidP="0021562A">
      <w:pPr>
        <w:tabs>
          <w:tab w:val="left" w:pos="6600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sectPr w:rsidR="0034111F" w:rsidRPr="0034111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0E563703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1" w:name="_Hlk137035182"/>
    <w:bookmarkStart w:id="2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1"/>
    <w:bookmarkEnd w:id="2"/>
    <w:r w:rsidR="0021562A">
      <w:rPr>
        <w:rFonts w:asciiTheme="minorHAnsi" w:hAnsiTheme="minorHAnsi" w:cstheme="minorHAnsi"/>
        <w:b/>
      </w:rPr>
      <w:t>Administração</w:t>
    </w:r>
    <w:r w:rsidR="00361553"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03EC4"/>
    <w:multiLevelType w:val="multilevel"/>
    <w:tmpl w:val="358493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96BBE"/>
    <w:multiLevelType w:val="multilevel"/>
    <w:tmpl w:val="56FC603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B56C3"/>
    <w:multiLevelType w:val="multilevel"/>
    <w:tmpl w:val="77B86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C2C97"/>
    <w:multiLevelType w:val="multilevel"/>
    <w:tmpl w:val="9EA47A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B62E1"/>
    <w:multiLevelType w:val="multilevel"/>
    <w:tmpl w:val="4296C9F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DB0461"/>
    <w:multiLevelType w:val="multilevel"/>
    <w:tmpl w:val="760E861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6367B69"/>
    <w:multiLevelType w:val="multilevel"/>
    <w:tmpl w:val="94B0B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C5497"/>
    <w:multiLevelType w:val="multilevel"/>
    <w:tmpl w:val="D3A2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81748"/>
    <w:multiLevelType w:val="multilevel"/>
    <w:tmpl w:val="936E5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D6025D"/>
    <w:multiLevelType w:val="multilevel"/>
    <w:tmpl w:val="B1A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B1622C"/>
    <w:multiLevelType w:val="multilevel"/>
    <w:tmpl w:val="EA206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6424B7"/>
    <w:multiLevelType w:val="multilevel"/>
    <w:tmpl w:val="81609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37106"/>
    <w:multiLevelType w:val="multilevel"/>
    <w:tmpl w:val="ABC05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4C5379"/>
    <w:multiLevelType w:val="multilevel"/>
    <w:tmpl w:val="304E781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820E0"/>
    <w:multiLevelType w:val="multilevel"/>
    <w:tmpl w:val="F632A8B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EC6308"/>
    <w:multiLevelType w:val="multilevel"/>
    <w:tmpl w:val="D67E3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4640403"/>
    <w:multiLevelType w:val="multilevel"/>
    <w:tmpl w:val="383222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8"/>
  </w:num>
  <w:num w:numId="3" w16cid:durableId="1842692972">
    <w:abstractNumId w:val="8"/>
  </w:num>
  <w:num w:numId="4" w16cid:durableId="981155347">
    <w:abstractNumId w:val="36"/>
  </w:num>
  <w:num w:numId="5" w16cid:durableId="618418633">
    <w:abstractNumId w:val="14"/>
  </w:num>
  <w:num w:numId="6" w16cid:durableId="1529681270">
    <w:abstractNumId w:val="12"/>
  </w:num>
  <w:num w:numId="7" w16cid:durableId="1028680711">
    <w:abstractNumId w:val="15"/>
  </w:num>
  <w:num w:numId="8" w16cid:durableId="1012224423">
    <w:abstractNumId w:val="10"/>
  </w:num>
  <w:num w:numId="9" w16cid:durableId="1100031179">
    <w:abstractNumId w:val="41"/>
  </w:num>
  <w:num w:numId="10" w16cid:durableId="183372207">
    <w:abstractNumId w:val="23"/>
  </w:num>
  <w:num w:numId="11" w16cid:durableId="238178179">
    <w:abstractNumId w:val="25"/>
  </w:num>
  <w:num w:numId="12" w16cid:durableId="154078737">
    <w:abstractNumId w:val="29"/>
  </w:num>
  <w:num w:numId="13" w16cid:durableId="900673409">
    <w:abstractNumId w:val="42"/>
  </w:num>
  <w:num w:numId="14" w16cid:durableId="1862010559">
    <w:abstractNumId w:val="22"/>
  </w:num>
  <w:num w:numId="15" w16cid:durableId="1642035153">
    <w:abstractNumId w:val="20"/>
  </w:num>
  <w:num w:numId="16" w16cid:durableId="1699158373">
    <w:abstractNumId w:val="28"/>
  </w:num>
  <w:num w:numId="17" w16cid:durableId="1787431680">
    <w:abstractNumId w:val="17"/>
  </w:num>
  <w:num w:numId="18" w16cid:durableId="2044362275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11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37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44"/>
  </w:num>
  <w:num w:numId="23" w16cid:durableId="318075074">
    <w:abstractNumId w:val="45"/>
  </w:num>
  <w:num w:numId="24" w16cid:durableId="75127460">
    <w:abstractNumId w:val="31"/>
  </w:num>
  <w:num w:numId="25" w16cid:durableId="240794879">
    <w:abstractNumId w:val="30"/>
  </w:num>
  <w:num w:numId="26" w16cid:durableId="1319503378">
    <w:abstractNumId w:val="19"/>
  </w:num>
  <w:num w:numId="27" w16cid:durableId="241912710">
    <w:abstractNumId w:val="4"/>
  </w:num>
  <w:num w:numId="28" w16cid:durableId="449326548">
    <w:abstractNumId w:val="38"/>
  </w:num>
  <w:num w:numId="29" w16cid:durableId="2069526128">
    <w:abstractNumId w:val="16"/>
  </w:num>
  <w:num w:numId="30" w16cid:durableId="829754594">
    <w:abstractNumId w:val="27"/>
  </w:num>
  <w:num w:numId="31" w16cid:durableId="1075708511">
    <w:abstractNumId w:val="33"/>
  </w:num>
  <w:num w:numId="32" w16cid:durableId="812718877">
    <w:abstractNumId w:val="21"/>
  </w:num>
  <w:num w:numId="33" w16cid:durableId="2092462866">
    <w:abstractNumId w:val="34"/>
  </w:num>
  <w:num w:numId="34" w16cid:durableId="115759568">
    <w:abstractNumId w:val="32"/>
  </w:num>
  <w:num w:numId="35" w16cid:durableId="1128475775">
    <w:abstractNumId w:val="26"/>
  </w:num>
  <w:num w:numId="36" w16cid:durableId="1103574138">
    <w:abstractNumId w:val="24"/>
  </w:num>
  <w:num w:numId="37" w16cid:durableId="1730883668">
    <w:abstractNumId w:val="40"/>
  </w:num>
  <w:num w:numId="38" w16cid:durableId="177473995">
    <w:abstractNumId w:val="5"/>
  </w:num>
  <w:num w:numId="39" w16cid:durableId="1420100104">
    <w:abstractNumId w:val="43"/>
  </w:num>
  <w:num w:numId="40" w16cid:durableId="427313747">
    <w:abstractNumId w:val="6"/>
  </w:num>
  <w:num w:numId="41" w16cid:durableId="724183920">
    <w:abstractNumId w:val="2"/>
  </w:num>
  <w:num w:numId="42" w16cid:durableId="1068916158">
    <w:abstractNumId w:val="7"/>
  </w:num>
  <w:num w:numId="43" w16cid:durableId="700518706">
    <w:abstractNumId w:val="9"/>
  </w:num>
  <w:num w:numId="44" w16cid:durableId="86924971">
    <w:abstractNumId w:val="39"/>
  </w:num>
  <w:num w:numId="45" w16cid:durableId="1228570604">
    <w:abstractNumId w:val="3"/>
  </w:num>
  <w:num w:numId="46" w16cid:durableId="43274789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6A8B"/>
    <w:rsid w:val="00007B87"/>
    <w:rsid w:val="0001354D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562A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394B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111F"/>
    <w:rsid w:val="00344A70"/>
    <w:rsid w:val="00345E95"/>
    <w:rsid w:val="0034667A"/>
    <w:rsid w:val="00346A89"/>
    <w:rsid w:val="00351280"/>
    <w:rsid w:val="00361553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384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50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3F58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5169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2024-01-04T19:46:00Z</cp:lastPrinted>
  <dcterms:created xsi:type="dcterms:W3CDTF">2024-01-04T19:46:00Z</dcterms:created>
  <dcterms:modified xsi:type="dcterms:W3CDTF">2024-01-04T19:48:00Z</dcterms:modified>
</cp:coreProperties>
</file>